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A513" w14:textId="3CC1D60A" w:rsidR="002D142A" w:rsidRPr="002D142A" w:rsidRDefault="002D142A" w:rsidP="002D142A">
      <w:pPr>
        <w:widowControl/>
        <w:spacing w:line="405" w:lineRule="atLeast"/>
        <w:jc w:val="center"/>
        <w:rPr>
          <w:rFonts w:ascii="宋体" w:eastAsia="宋体" w:hAnsi="宋体" w:cs="宋体"/>
          <w:kern w:val="0"/>
          <w:szCs w:val="21"/>
        </w:rPr>
      </w:pPr>
      <w:r w:rsidRPr="002D142A">
        <w:rPr>
          <w:rFonts w:ascii="华文中宋" w:eastAsia="华文中宋" w:hAnsi="华文中宋" w:cs="宋体" w:hint="eastAsia"/>
          <w:kern w:val="0"/>
          <w:sz w:val="32"/>
          <w:szCs w:val="32"/>
        </w:rPr>
        <w:t>2021年济南市职工</w:t>
      </w:r>
      <w:proofErr w:type="gramStart"/>
      <w:r w:rsidRPr="002D142A">
        <w:rPr>
          <w:rFonts w:ascii="华文中宋" w:eastAsia="华文中宋" w:hAnsi="华文中宋" w:cs="宋体" w:hint="eastAsia"/>
          <w:kern w:val="0"/>
          <w:sz w:val="32"/>
          <w:szCs w:val="32"/>
        </w:rPr>
        <w:t>医</w:t>
      </w:r>
      <w:proofErr w:type="gramEnd"/>
      <w:r w:rsidRPr="002D142A">
        <w:rPr>
          <w:rFonts w:ascii="华文中宋" w:eastAsia="华文中宋" w:hAnsi="华文中宋" w:cs="宋体" w:hint="eastAsia"/>
          <w:kern w:val="0"/>
          <w:sz w:val="32"/>
          <w:szCs w:val="32"/>
        </w:rPr>
        <w:t>保待遇标准一览表</w:t>
      </w:r>
    </w:p>
    <w:tbl>
      <w:tblPr>
        <w:tblW w:w="14400" w:type="dxa"/>
        <w:jc w:val="center"/>
        <w:tblCellSpacing w:w="0" w:type="dxa"/>
        <w:tblCellMar>
          <w:left w:w="0" w:type="dxa"/>
          <w:right w:w="0" w:type="dxa"/>
        </w:tblCellMar>
        <w:tblLook w:val="04A0" w:firstRow="1" w:lastRow="0" w:firstColumn="1" w:lastColumn="0" w:noHBand="0" w:noVBand="1"/>
      </w:tblPr>
      <w:tblGrid>
        <w:gridCol w:w="1440"/>
        <w:gridCol w:w="1710"/>
        <w:gridCol w:w="1890"/>
        <w:gridCol w:w="1950"/>
        <w:gridCol w:w="2640"/>
        <w:gridCol w:w="4770"/>
      </w:tblGrid>
      <w:tr w:rsidR="002D142A" w:rsidRPr="002D142A" w14:paraId="04637354" w14:textId="77777777" w:rsidTr="002D142A">
        <w:trPr>
          <w:trHeight w:val="630"/>
          <w:tblCellSpacing w:w="0" w:type="dxa"/>
          <w:jc w:val="center"/>
        </w:trPr>
        <w:tc>
          <w:tcPr>
            <w:tcW w:w="504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D9393DB"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华文中宋" w:eastAsia="华文中宋" w:hAnsi="华文中宋" w:cs="宋体" w:hint="eastAsia"/>
                <w:kern w:val="0"/>
                <w:sz w:val="24"/>
                <w:szCs w:val="24"/>
              </w:rPr>
              <w:t>待遇项目</w:t>
            </w:r>
          </w:p>
        </w:tc>
        <w:tc>
          <w:tcPr>
            <w:tcW w:w="4590" w:type="dxa"/>
            <w:gridSpan w:val="2"/>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619C1D1C"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华文中宋" w:eastAsia="华文中宋" w:hAnsi="华文中宋" w:cs="宋体" w:hint="eastAsia"/>
                <w:kern w:val="0"/>
                <w:sz w:val="24"/>
                <w:szCs w:val="24"/>
              </w:rPr>
              <w:t>在职人员</w:t>
            </w:r>
          </w:p>
        </w:tc>
        <w:tc>
          <w:tcPr>
            <w:tcW w:w="477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3D15B23C"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华文中宋" w:eastAsia="华文中宋" w:hAnsi="华文中宋" w:cs="宋体" w:hint="eastAsia"/>
                <w:kern w:val="0"/>
                <w:sz w:val="24"/>
                <w:szCs w:val="24"/>
              </w:rPr>
              <w:t>退休人员</w:t>
            </w:r>
          </w:p>
        </w:tc>
      </w:tr>
      <w:tr w:rsidR="002D142A" w:rsidRPr="002D142A" w14:paraId="58B9958F" w14:textId="77777777" w:rsidTr="002D142A">
        <w:trPr>
          <w:trHeight w:val="525"/>
          <w:tblCellSpacing w:w="0" w:type="dxa"/>
          <w:jc w:val="center"/>
        </w:trPr>
        <w:tc>
          <w:tcPr>
            <w:tcW w:w="5040" w:type="dxa"/>
            <w:gridSpan w:val="3"/>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64C1496"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个人账户待遇</w:t>
            </w:r>
          </w:p>
        </w:tc>
        <w:tc>
          <w:tcPr>
            <w:tcW w:w="195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FBEABBC"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个人缴费部分</w:t>
            </w:r>
          </w:p>
        </w:tc>
        <w:tc>
          <w:tcPr>
            <w:tcW w:w="26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0CF4535"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单位缴费部分</w:t>
            </w:r>
          </w:p>
        </w:tc>
        <w:tc>
          <w:tcPr>
            <w:tcW w:w="4770" w:type="dxa"/>
            <w:vMerge w:val="restart"/>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1A9ECA0A"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按照基本养老金的4%划入。按年龄段实行保底封顶：60岁以下50-170元，60-70岁60-190元，70-80岁70-220元，80-90岁80-220元，90岁以上90-220元</w:t>
            </w:r>
          </w:p>
        </w:tc>
      </w:tr>
      <w:tr w:rsidR="002D142A" w:rsidRPr="002D142A" w14:paraId="7219215D" w14:textId="77777777" w:rsidTr="002D142A">
        <w:trPr>
          <w:trHeight w:val="1200"/>
          <w:tblCellSpacing w:w="0" w:type="dxa"/>
          <w:jc w:val="center"/>
        </w:trPr>
        <w:tc>
          <w:tcPr>
            <w:tcW w:w="0" w:type="auto"/>
            <w:gridSpan w:val="3"/>
            <w:vMerge/>
            <w:tcBorders>
              <w:top w:val="nil"/>
              <w:left w:val="single" w:sz="6" w:space="0" w:color="000000"/>
              <w:bottom w:val="single" w:sz="6" w:space="0" w:color="000000"/>
              <w:right w:val="single" w:sz="6" w:space="0" w:color="000000"/>
            </w:tcBorders>
            <w:vAlign w:val="center"/>
            <w:hideMark/>
          </w:tcPr>
          <w:p w14:paraId="62AB6411" w14:textId="77777777" w:rsidR="002D142A" w:rsidRPr="002D142A" w:rsidRDefault="002D142A" w:rsidP="002D142A">
            <w:pPr>
              <w:widowControl/>
              <w:jc w:val="left"/>
              <w:rPr>
                <w:rFonts w:ascii="宋体" w:eastAsia="宋体" w:hAnsi="宋体" w:cs="宋体"/>
                <w:kern w:val="0"/>
                <w:szCs w:val="21"/>
              </w:rPr>
            </w:pPr>
          </w:p>
        </w:tc>
        <w:tc>
          <w:tcPr>
            <w:tcW w:w="195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42AC733" w14:textId="77777777" w:rsidR="002D142A" w:rsidRPr="002D142A" w:rsidRDefault="002D142A" w:rsidP="002D142A">
            <w:pPr>
              <w:widowControl/>
              <w:spacing w:line="405" w:lineRule="atLeast"/>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全部划入个人账户</w:t>
            </w:r>
          </w:p>
        </w:tc>
        <w:tc>
          <w:tcPr>
            <w:tcW w:w="264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828E65D" w14:textId="77777777" w:rsidR="002D142A" w:rsidRPr="002D142A" w:rsidRDefault="002D142A" w:rsidP="002D142A">
            <w:pPr>
              <w:widowControl/>
              <w:spacing w:line="405" w:lineRule="atLeast"/>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35岁以下划入0.8%，35-45岁划入1%，45岁至退休划入1.5%</w:t>
            </w:r>
          </w:p>
        </w:tc>
        <w:tc>
          <w:tcPr>
            <w:tcW w:w="0" w:type="auto"/>
            <w:vMerge/>
            <w:tcBorders>
              <w:top w:val="single" w:sz="6" w:space="0" w:color="000000"/>
              <w:left w:val="nil"/>
              <w:bottom w:val="single" w:sz="6" w:space="0" w:color="000000"/>
              <w:right w:val="single" w:sz="6" w:space="0" w:color="000000"/>
            </w:tcBorders>
            <w:vAlign w:val="center"/>
            <w:hideMark/>
          </w:tcPr>
          <w:p w14:paraId="341A5AC6" w14:textId="77777777" w:rsidR="002D142A" w:rsidRPr="002D142A" w:rsidRDefault="002D142A" w:rsidP="002D142A">
            <w:pPr>
              <w:widowControl/>
              <w:jc w:val="left"/>
              <w:rPr>
                <w:rFonts w:ascii="宋体" w:eastAsia="宋体" w:hAnsi="宋体" w:cs="宋体"/>
                <w:kern w:val="0"/>
                <w:szCs w:val="21"/>
              </w:rPr>
            </w:pPr>
          </w:p>
        </w:tc>
      </w:tr>
      <w:tr w:rsidR="002D142A" w:rsidRPr="002D142A" w14:paraId="646B6D8F" w14:textId="77777777" w:rsidTr="002D142A">
        <w:trPr>
          <w:trHeight w:val="630"/>
          <w:tblCellSpacing w:w="0" w:type="dxa"/>
          <w:jc w:val="center"/>
        </w:trPr>
        <w:tc>
          <w:tcPr>
            <w:tcW w:w="1440"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921D8E8"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住院待遇</w:t>
            </w: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28B1A51"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起付线（中医医院降低20%，精神卫生专科医院无起付线）</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D7D6DB2"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三级医院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FE5F817"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第一次住院1000元；第二次住院500元；第三次及以上0元</w:t>
            </w:r>
          </w:p>
        </w:tc>
      </w:tr>
      <w:tr w:rsidR="002D142A" w:rsidRPr="002D142A" w14:paraId="58471A99" w14:textId="77777777" w:rsidTr="002D142A">
        <w:trPr>
          <w:trHeight w:val="66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856F3AD"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0ACED678"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C0669EC"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二级及一级医院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D1A62A4"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第一次住院400元；第二次住院200元；第三次及以上0元</w:t>
            </w:r>
          </w:p>
        </w:tc>
      </w:tr>
      <w:tr w:rsidR="002D142A" w:rsidRPr="002D142A" w14:paraId="5C8D4F30" w14:textId="77777777" w:rsidTr="002D142A">
        <w:trPr>
          <w:trHeight w:val="54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AD44470"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7C5242E4"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ADD2C98"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社区医院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204C885"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第一次住院200元；第二次住院100元或0元（社区医院一年只收一次起付线）；第三次及以上0元</w:t>
            </w:r>
          </w:p>
        </w:tc>
      </w:tr>
      <w:tr w:rsidR="002D142A" w:rsidRPr="002D142A" w14:paraId="39E13831" w14:textId="77777777" w:rsidTr="002D142A">
        <w:trPr>
          <w:trHeight w:val="8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423B91C" w14:textId="77777777" w:rsidR="002D142A" w:rsidRPr="002D142A" w:rsidRDefault="002D142A" w:rsidP="002D142A">
            <w:pPr>
              <w:widowControl/>
              <w:jc w:val="left"/>
              <w:rPr>
                <w:rFonts w:ascii="宋体" w:eastAsia="宋体" w:hAnsi="宋体" w:cs="宋体"/>
                <w:kern w:val="0"/>
                <w:szCs w:val="21"/>
              </w:rPr>
            </w:pP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9812463"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报销比例</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A5DD32A"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三级医院</w:t>
            </w:r>
          </w:p>
        </w:tc>
        <w:tc>
          <w:tcPr>
            <w:tcW w:w="459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C7ACD00"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起付线-1万元报销85%；1万-40万元报销88%；40万-60万元报销90%</w:t>
            </w:r>
          </w:p>
        </w:tc>
        <w:tc>
          <w:tcPr>
            <w:tcW w:w="477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5E172B33"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起付线-1万元报销88%；1万-40万元报销91%；建国前老工人在以上基础上提高5个百分点。40万-60万元报销90%</w:t>
            </w:r>
          </w:p>
        </w:tc>
      </w:tr>
      <w:tr w:rsidR="002D142A" w:rsidRPr="002D142A" w14:paraId="6012D180" w14:textId="77777777" w:rsidTr="002D142A">
        <w:trPr>
          <w:trHeight w:val="9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0358286"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6FDD1689"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FB66708"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二级及以下医院</w:t>
            </w:r>
          </w:p>
        </w:tc>
        <w:tc>
          <w:tcPr>
            <w:tcW w:w="459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39B48B0"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起付线-1万元报销90%；1万-40万元报销93%；40万-60万元报销90%</w:t>
            </w:r>
          </w:p>
        </w:tc>
        <w:tc>
          <w:tcPr>
            <w:tcW w:w="47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7407D46"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起付线-1万元报销93%；1万-40万元报销96%；建国前老工人在此基础上提高5个百分点，最高不超过100%。40万-60万元报销90%</w:t>
            </w:r>
          </w:p>
        </w:tc>
      </w:tr>
      <w:tr w:rsidR="002D142A" w:rsidRPr="002D142A" w14:paraId="53B67D1B" w14:textId="77777777" w:rsidTr="002D142A">
        <w:trPr>
          <w:trHeight w:val="85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CFC0AFE" w14:textId="77777777" w:rsidR="002D142A" w:rsidRPr="002D142A" w:rsidRDefault="002D142A" w:rsidP="002D142A">
            <w:pPr>
              <w:widowControl/>
              <w:jc w:val="left"/>
              <w:rPr>
                <w:rFonts w:ascii="宋体" w:eastAsia="宋体" w:hAnsi="宋体" w:cs="宋体"/>
                <w:kern w:val="0"/>
                <w:szCs w:val="21"/>
              </w:rPr>
            </w:pP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C3E96E6"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异地住院</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82FF396"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长期异地备案人员在备案地住院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2A0890D"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执行上述报销政策</w:t>
            </w:r>
          </w:p>
        </w:tc>
      </w:tr>
      <w:tr w:rsidR="002D142A" w:rsidRPr="002D142A" w14:paraId="3B191DDC" w14:textId="77777777" w:rsidTr="002D142A">
        <w:trPr>
          <w:trHeight w:val="85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AEA564B"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AFD3AC9"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FC50C0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异地急症住院及异地转诊转院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56C6986"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40万元以下的部分报销比例降低10个百分点，40万元以上的部分报销比例不变</w:t>
            </w:r>
          </w:p>
        </w:tc>
      </w:tr>
      <w:tr w:rsidR="002D142A" w:rsidRPr="002D142A" w14:paraId="0E6EC43A" w14:textId="77777777" w:rsidTr="002D142A">
        <w:trPr>
          <w:trHeight w:val="85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D9B5524"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5B1E2636"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EACC12E"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 xml:space="preserve">未经备案自行 </w:t>
            </w:r>
            <w:r w:rsidRPr="002D142A">
              <w:rPr>
                <w:rFonts w:ascii="Calibri" w:eastAsia="黑体" w:hAnsi="Calibri" w:cs="Calibri"/>
                <w:kern w:val="0"/>
                <w:sz w:val="24"/>
                <w:szCs w:val="24"/>
              </w:rPr>
              <w:t>   </w:t>
            </w:r>
            <w:r w:rsidRPr="002D142A">
              <w:rPr>
                <w:rFonts w:ascii="黑体" w:eastAsia="黑体" w:hAnsi="黑体" w:cs="宋体" w:hint="eastAsia"/>
                <w:kern w:val="0"/>
                <w:sz w:val="24"/>
                <w:szCs w:val="24"/>
              </w:rPr>
              <w:t>外出就医</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47BDA34"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合</w:t>
            </w:r>
            <w:proofErr w:type="gramStart"/>
            <w:r w:rsidRPr="002D142A">
              <w:rPr>
                <w:rFonts w:ascii="仿宋" w:eastAsia="仿宋" w:hAnsi="仿宋" w:cs="宋体" w:hint="eastAsia"/>
                <w:kern w:val="0"/>
                <w:sz w:val="24"/>
                <w:szCs w:val="24"/>
              </w:rPr>
              <w:t>规</w:t>
            </w:r>
            <w:proofErr w:type="gramEnd"/>
            <w:r w:rsidRPr="002D142A">
              <w:rPr>
                <w:rFonts w:ascii="仿宋" w:eastAsia="仿宋" w:hAnsi="仿宋" w:cs="宋体" w:hint="eastAsia"/>
                <w:kern w:val="0"/>
                <w:sz w:val="24"/>
                <w:szCs w:val="24"/>
              </w:rPr>
              <w:t>医疗费用个人首先自负30%，剩余部分再按规定比例报销</w:t>
            </w:r>
          </w:p>
        </w:tc>
      </w:tr>
      <w:tr w:rsidR="002D142A" w:rsidRPr="002D142A" w14:paraId="58E70E4C" w14:textId="77777777" w:rsidTr="002D142A">
        <w:trPr>
          <w:trHeight w:val="64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A6A958C" w14:textId="77777777" w:rsidR="002D142A" w:rsidRPr="002D142A" w:rsidRDefault="002D142A" w:rsidP="002D142A">
            <w:pPr>
              <w:widowControl/>
              <w:jc w:val="left"/>
              <w:rPr>
                <w:rFonts w:ascii="宋体" w:eastAsia="宋体" w:hAnsi="宋体" w:cs="宋体"/>
                <w:kern w:val="0"/>
                <w:szCs w:val="21"/>
              </w:rPr>
            </w:pP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5F809B4"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封顶线</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799232B"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60万元</w:t>
            </w:r>
          </w:p>
        </w:tc>
      </w:tr>
      <w:tr w:rsidR="002D142A" w:rsidRPr="002D142A" w14:paraId="57EFB755" w14:textId="77777777" w:rsidTr="002D142A">
        <w:trPr>
          <w:trHeight w:val="1845"/>
          <w:tblCellSpacing w:w="0" w:type="dxa"/>
          <w:jc w:val="center"/>
        </w:trPr>
        <w:tc>
          <w:tcPr>
            <w:tcW w:w="1440"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31C661B"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门诊慢性病待遇</w:t>
            </w: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385F43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病种范围</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4F7F7F2"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24个。Ⅰ类病种：恶性肿瘤的治疗、慢性肾衰竭（尿毒症期）的透析治疗、器官移植患者的抗排异治疗（限心脏、肝、肺、肾、异基因造血干细胞移植）、精神障碍、新冠肺炎出院患者门诊康复；Ⅱ类病种：慢性病毒性肝炎、肝硬化、再生障碍性贫血、结核病、系统性红斑狼疮、血液系统疾病（血友病、骨髓增生性疾病、骨髓增生异常综合征）、慢性肾衰竭（非尿毒症期）；Ⅲ类病种：糖尿病（有心、脑、肾、眼、酮症并发症之一）、高血压（有心、脑、肾、眼并发症之一）、肺心病（并发右心衰竭）、冠心病（反复发作心绞痛或心肌梗塞）、脑血管病（并发后遗症）、慢性心力衰竭、风湿性疾病、间质性肺疾病、重症肌无力、癫痫、帕金森氏病及综合征、多发性硬化</w:t>
            </w:r>
          </w:p>
        </w:tc>
      </w:tr>
      <w:tr w:rsidR="002D142A" w:rsidRPr="002D142A" w14:paraId="1B9ACB69" w14:textId="77777777" w:rsidTr="002D142A">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2592F77" w14:textId="77777777" w:rsidR="002D142A" w:rsidRPr="002D142A" w:rsidRDefault="002D142A" w:rsidP="002D142A">
            <w:pPr>
              <w:widowControl/>
              <w:jc w:val="left"/>
              <w:rPr>
                <w:rFonts w:ascii="宋体" w:eastAsia="宋体" w:hAnsi="宋体" w:cs="宋体"/>
                <w:kern w:val="0"/>
                <w:szCs w:val="21"/>
              </w:rPr>
            </w:pP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27EBE2C"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起付线（Ⅰ类病种无起付</w:t>
            </w:r>
            <w:r w:rsidRPr="002D142A">
              <w:rPr>
                <w:rFonts w:ascii="黑体" w:eastAsia="黑体" w:hAnsi="黑体" w:cs="宋体" w:hint="eastAsia"/>
                <w:kern w:val="0"/>
                <w:sz w:val="24"/>
                <w:szCs w:val="24"/>
              </w:rPr>
              <w:lastRenderedPageBreak/>
              <w:t>线，中医医院降低20%）</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35284E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lastRenderedPageBreak/>
              <w:t>省部三级医院</w:t>
            </w:r>
          </w:p>
        </w:tc>
        <w:tc>
          <w:tcPr>
            <w:tcW w:w="9360" w:type="dxa"/>
            <w:gridSpan w:val="3"/>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6FC2B4B1"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800元</w:t>
            </w:r>
          </w:p>
        </w:tc>
      </w:tr>
      <w:tr w:rsidR="002D142A" w:rsidRPr="002D142A" w14:paraId="76E55441" w14:textId="77777777" w:rsidTr="002D142A">
        <w:trPr>
          <w:trHeight w:val="61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C7A3E35"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18B14089"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30593F8"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其他三级医院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80A86E1"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600元</w:t>
            </w:r>
          </w:p>
        </w:tc>
      </w:tr>
      <w:tr w:rsidR="002D142A" w:rsidRPr="002D142A" w14:paraId="29B9439B" w14:textId="77777777" w:rsidTr="002D142A">
        <w:trPr>
          <w:trHeight w:val="58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6DE3EBE"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719E60D"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79B5133"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二级及一级医院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C86C827"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300元</w:t>
            </w:r>
          </w:p>
        </w:tc>
      </w:tr>
      <w:tr w:rsidR="002D142A" w:rsidRPr="002D142A" w14:paraId="3BF99BD5" w14:textId="77777777" w:rsidTr="002D142A">
        <w:trPr>
          <w:trHeight w:val="61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3635711"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55100523"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2A1E103"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社区医院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7420CF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0元</w:t>
            </w:r>
          </w:p>
        </w:tc>
      </w:tr>
      <w:tr w:rsidR="002D142A" w:rsidRPr="002D142A" w14:paraId="6CED0516" w14:textId="77777777" w:rsidTr="002D142A">
        <w:trPr>
          <w:trHeight w:val="8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1DC0455" w14:textId="77777777" w:rsidR="002D142A" w:rsidRPr="002D142A" w:rsidRDefault="002D142A" w:rsidP="002D142A">
            <w:pPr>
              <w:widowControl/>
              <w:jc w:val="left"/>
              <w:rPr>
                <w:rFonts w:ascii="宋体" w:eastAsia="宋体" w:hAnsi="宋体" w:cs="宋体"/>
                <w:kern w:val="0"/>
                <w:szCs w:val="21"/>
              </w:rPr>
            </w:pP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09F156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报销比例</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206142D"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三级医院</w:t>
            </w:r>
          </w:p>
        </w:tc>
        <w:tc>
          <w:tcPr>
            <w:tcW w:w="459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E40B574"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起付线-1万元报销85%；1万-40万元报销88%；40万-60万元报销90%</w:t>
            </w:r>
          </w:p>
        </w:tc>
        <w:tc>
          <w:tcPr>
            <w:tcW w:w="477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637DD1F8"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起付线-1万元报销88%；1万-40万元报销91%；建国前老工人在以上基础上提高5个百分点。40万-60万元报销90%</w:t>
            </w:r>
          </w:p>
        </w:tc>
      </w:tr>
      <w:tr w:rsidR="002D142A" w:rsidRPr="002D142A" w14:paraId="4E528081" w14:textId="77777777" w:rsidTr="002D142A">
        <w:trPr>
          <w:trHeight w:val="9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BE90FB5"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170C7031"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338CEA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二级及以下医院</w:t>
            </w:r>
          </w:p>
        </w:tc>
        <w:tc>
          <w:tcPr>
            <w:tcW w:w="459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55DE2F8"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起付线-1万元报销90%；1万-40万元报销93%；40万-60万元报销90%</w:t>
            </w:r>
          </w:p>
        </w:tc>
        <w:tc>
          <w:tcPr>
            <w:tcW w:w="47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DD9244D"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起付线-1万元报销93%；1万-40万元报销96%；建国前老工人在此基础上提高5个百分点，最高不超过100%。40万-60万元报销90%</w:t>
            </w:r>
          </w:p>
        </w:tc>
      </w:tr>
      <w:tr w:rsidR="002D142A" w:rsidRPr="002D142A" w14:paraId="7D67F1B6" w14:textId="77777777" w:rsidTr="002D142A">
        <w:trPr>
          <w:trHeight w:val="88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E18A93B" w14:textId="77777777" w:rsidR="002D142A" w:rsidRPr="002D142A" w:rsidRDefault="002D142A" w:rsidP="002D142A">
            <w:pPr>
              <w:widowControl/>
              <w:jc w:val="left"/>
              <w:rPr>
                <w:rFonts w:ascii="宋体" w:eastAsia="宋体" w:hAnsi="宋体" w:cs="宋体"/>
                <w:kern w:val="0"/>
                <w:szCs w:val="21"/>
              </w:rPr>
            </w:pP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3212A81"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异地治疗</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A686A2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长期异地备案人员在备案地治疗</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2BE6651"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执行上述报销政策</w:t>
            </w:r>
          </w:p>
        </w:tc>
      </w:tr>
      <w:tr w:rsidR="002D142A" w:rsidRPr="002D142A" w14:paraId="5E418410" w14:textId="77777777" w:rsidTr="002D142A">
        <w:trPr>
          <w:trHeight w:val="9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7B0CD7A"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74C78C9F"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66A9EA8"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异地急症治疗及转诊转院</w:t>
            </w:r>
            <w:proofErr w:type="gramStart"/>
            <w:r w:rsidRPr="002D142A">
              <w:rPr>
                <w:rFonts w:ascii="黑体" w:eastAsia="黑体" w:hAnsi="黑体" w:cs="宋体" w:hint="eastAsia"/>
                <w:kern w:val="0"/>
                <w:sz w:val="24"/>
                <w:szCs w:val="24"/>
              </w:rPr>
              <w:t>后相应</w:t>
            </w:r>
            <w:proofErr w:type="gramEnd"/>
            <w:r w:rsidRPr="002D142A">
              <w:rPr>
                <w:rFonts w:ascii="黑体" w:eastAsia="黑体" w:hAnsi="黑体" w:cs="宋体" w:hint="eastAsia"/>
                <w:kern w:val="0"/>
                <w:sz w:val="24"/>
                <w:szCs w:val="24"/>
              </w:rPr>
              <w:t>门诊慢性病治疗</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3556646"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40万元以下的部分报销比例降低10个百分点，40万元以上的部分报销比例不变</w:t>
            </w:r>
          </w:p>
        </w:tc>
      </w:tr>
      <w:tr w:rsidR="002D142A" w:rsidRPr="002D142A" w14:paraId="3C58CC6E" w14:textId="77777777" w:rsidTr="002D142A">
        <w:trPr>
          <w:trHeight w:val="97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2744497"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1178021E"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3F5E149"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 xml:space="preserve">未经备案自行 </w:t>
            </w:r>
            <w:r w:rsidRPr="002D142A">
              <w:rPr>
                <w:rFonts w:ascii="Calibri" w:eastAsia="黑体" w:hAnsi="Calibri" w:cs="Calibri"/>
                <w:kern w:val="0"/>
                <w:sz w:val="24"/>
                <w:szCs w:val="24"/>
              </w:rPr>
              <w:t>   </w:t>
            </w:r>
            <w:r w:rsidRPr="002D142A">
              <w:rPr>
                <w:rFonts w:ascii="黑体" w:eastAsia="黑体" w:hAnsi="黑体" w:cs="宋体" w:hint="eastAsia"/>
                <w:kern w:val="0"/>
                <w:sz w:val="24"/>
                <w:szCs w:val="24"/>
              </w:rPr>
              <w:t>外出治疗</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AD083B0"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合</w:t>
            </w:r>
            <w:proofErr w:type="gramStart"/>
            <w:r w:rsidRPr="002D142A">
              <w:rPr>
                <w:rFonts w:ascii="仿宋" w:eastAsia="仿宋" w:hAnsi="仿宋" w:cs="宋体" w:hint="eastAsia"/>
                <w:kern w:val="0"/>
                <w:sz w:val="24"/>
                <w:szCs w:val="24"/>
              </w:rPr>
              <w:t>规</w:t>
            </w:r>
            <w:proofErr w:type="gramEnd"/>
            <w:r w:rsidRPr="002D142A">
              <w:rPr>
                <w:rFonts w:ascii="仿宋" w:eastAsia="仿宋" w:hAnsi="仿宋" w:cs="宋体" w:hint="eastAsia"/>
                <w:kern w:val="0"/>
                <w:sz w:val="24"/>
                <w:szCs w:val="24"/>
              </w:rPr>
              <w:t>医疗费用个人首先自负30%，剩余部分再按规定比例报销</w:t>
            </w:r>
          </w:p>
        </w:tc>
      </w:tr>
      <w:tr w:rsidR="002D142A" w:rsidRPr="002D142A" w14:paraId="44C606E9" w14:textId="77777777" w:rsidTr="002D142A">
        <w:trPr>
          <w:trHeight w:val="69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5A77B77" w14:textId="77777777" w:rsidR="002D142A" w:rsidRPr="002D142A" w:rsidRDefault="002D142A" w:rsidP="002D142A">
            <w:pPr>
              <w:widowControl/>
              <w:jc w:val="left"/>
              <w:rPr>
                <w:rFonts w:ascii="宋体" w:eastAsia="宋体" w:hAnsi="宋体" w:cs="宋体"/>
                <w:kern w:val="0"/>
                <w:szCs w:val="21"/>
              </w:rPr>
            </w:pP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5386675"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封顶线</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FBF9BBB"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60万元，与住院合并计算</w:t>
            </w:r>
          </w:p>
        </w:tc>
      </w:tr>
      <w:tr w:rsidR="002D142A" w:rsidRPr="002D142A" w14:paraId="087577EA" w14:textId="77777777" w:rsidTr="002D142A">
        <w:trPr>
          <w:trHeight w:val="75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C03F866" w14:textId="77777777" w:rsidR="002D142A" w:rsidRPr="002D142A" w:rsidRDefault="002D142A" w:rsidP="002D142A">
            <w:pPr>
              <w:widowControl/>
              <w:jc w:val="left"/>
              <w:rPr>
                <w:rFonts w:ascii="宋体" w:eastAsia="宋体" w:hAnsi="宋体" w:cs="宋体"/>
                <w:kern w:val="0"/>
                <w:szCs w:val="21"/>
              </w:rPr>
            </w:pPr>
          </w:p>
        </w:tc>
        <w:tc>
          <w:tcPr>
            <w:tcW w:w="3600" w:type="dxa"/>
            <w:gridSpan w:val="2"/>
            <w:tcBorders>
              <w:top w:val="nil"/>
              <w:left w:val="nil"/>
              <w:bottom w:val="single" w:sz="6" w:space="0" w:color="000000"/>
              <w:right w:val="nil"/>
            </w:tcBorders>
            <w:tcMar>
              <w:top w:w="15" w:type="dxa"/>
              <w:left w:w="15" w:type="dxa"/>
              <w:bottom w:w="0" w:type="dxa"/>
              <w:right w:w="15" w:type="dxa"/>
            </w:tcMar>
            <w:vAlign w:val="center"/>
            <w:hideMark/>
          </w:tcPr>
          <w:p w14:paraId="3F5D6681"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参照门诊慢性病管理</w:t>
            </w:r>
          </w:p>
        </w:tc>
        <w:tc>
          <w:tcPr>
            <w:tcW w:w="9360" w:type="dxa"/>
            <w:gridSpan w:val="3"/>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D3229AB" w14:textId="77777777" w:rsidR="002D142A" w:rsidRPr="002D142A" w:rsidRDefault="002D142A" w:rsidP="002D142A">
            <w:pPr>
              <w:widowControl/>
              <w:spacing w:line="405" w:lineRule="atLeast"/>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在门诊使用康柏西普、雷珠单抗、阿柏西普和地塞米松玻璃体内植入剂治疗黄斑变性</w:t>
            </w:r>
          </w:p>
        </w:tc>
      </w:tr>
      <w:tr w:rsidR="002D142A" w:rsidRPr="002D142A" w14:paraId="11FA8E98" w14:textId="77777777" w:rsidTr="002D142A">
        <w:trPr>
          <w:trHeight w:val="525"/>
          <w:tblCellSpacing w:w="0" w:type="dxa"/>
          <w:jc w:val="center"/>
        </w:trPr>
        <w:tc>
          <w:tcPr>
            <w:tcW w:w="1440"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D8609FA"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普通门诊统筹待遇</w:t>
            </w: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A39779D"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起付线（中医医院降低20%）</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9AE99ED"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三级医院</w:t>
            </w:r>
          </w:p>
        </w:tc>
        <w:tc>
          <w:tcPr>
            <w:tcW w:w="9360" w:type="dxa"/>
            <w:gridSpan w:val="3"/>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4A53F569"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1200元</w:t>
            </w:r>
          </w:p>
        </w:tc>
      </w:tr>
      <w:tr w:rsidR="002D142A" w:rsidRPr="002D142A" w14:paraId="77C586C7" w14:textId="77777777" w:rsidTr="002D142A">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43D21B4"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4842D0FB"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657F7D0"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二级及一级医院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7CABD1B"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700元</w:t>
            </w:r>
          </w:p>
        </w:tc>
      </w:tr>
      <w:tr w:rsidR="002D142A" w:rsidRPr="002D142A" w14:paraId="2E78359A" w14:textId="77777777" w:rsidTr="002D142A">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6FD0758E"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B3AACC4"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502AF80"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社区医院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313823D"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400元</w:t>
            </w:r>
          </w:p>
        </w:tc>
      </w:tr>
      <w:tr w:rsidR="002D142A" w:rsidRPr="002D142A" w14:paraId="2EFF7000" w14:textId="77777777" w:rsidTr="002D142A">
        <w:trPr>
          <w:trHeight w:val="52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4AD2DCF" w14:textId="77777777" w:rsidR="002D142A" w:rsidRPr="002D142A" w:rsidRDefault="002D142A" w:rsidP="002D142A">
            <w:pPr>
              <w:widowControl/>
              <w:jc w:val="left"/>
              <w:rPr>
                <w:rFonts w:ascii="宋体" w:eastAsia="宋体" w:hAnsi="宋体" w:cs="宋体"/>
                <w:kern w:val="0"/>
                <w:szCs w:val="21"/>
              </w:rPr>
            </w:pP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2C34860"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报销比例</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8BC4D1C"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三级医院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AE71AE4"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40%；建国前老工人在此基础上提高5个百分点</w:t>
            </w:r>
          </w:p>
        </w:tc>
      </w:tr>
      <w:tr w:rsidR="002D142A" w:rsidRPr="002D142A" w14:paraId="62AF22A4" w14:textId="77777777" w:rsidTr="002D142A">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8787B4E"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611F27DD"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34942E6"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二级及一级医院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C981D77"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60%；建国前老工人在此基础上提高5个百分点</w:t>
            </w:r>
          </w:p>
        </w:tc>
      </w:tr>
      <w:tr w:rsidR="002D142A" w:rsidRPr="002D142A" w14:paraId="022C707E" w14:textId="77777777" w:rsidTr="002D142A">
        <w:trPr>
          <w:trHeight w:val="54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3D0D833"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E030893"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56CC68B"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社区医院</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909A5D9"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80%；建国前老工人在此基础上提高5个百分点</w:t>
            </w:r>
          </w:p>
        </w:tc>
      </w:tr>
      <w:tr w:rsidR="002D142A" w:rsidRPr="002D142A" w14:paraId="501ABDF4" w14:textId="77777777" w:rsidTr="002D142A">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DE45295" w14:textId="77777777" w:rsidR="002D142A" w:rsidRPr="002D142A" w:rsidRDefault="002D142A" w:rsidP="002D142A">
            <w:pPr>
              <w:widowControl/>
              <w:jc w:val="left"/>
              <w:rPr>
                <w:rFonts w:ascii="宋体" w:eastAsia="宋体" w:hAnsi="宋体" w:cs="宋体"/>
                <w:kern w:val="0"/>
                <w:szCs w:val="21"/>
              </w:rPr>
            </w:pP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B4122E8"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异地门急诊</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CE4E3BD"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长期异地备案人员在备案地就诊</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401B21D"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执行上述报销政策</w:t>
            </w:r>
          </w:p>
        </w:tc>
      </w:tr>
      <w:tr w:rsidR="002D142A" w:rsidRPr="002D142A" w14:paraId="17281D9C" w14:textId="77777777" w:rsidTr="002D142A">
        <w:trPr>
          <w:trHeight w:val="9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CF6150E"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779284A3"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AF75727"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异地急症就诊及转诊转院后在门诊治疗</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DD7496A"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报销比例降低10个百分点</w:t>
            </w:r>
          </w:p>
        </w:tc>
      </w:tr>
      <w:tr w:rsidR="002D142A" w:rsidRPr="002D142A" w14:paraId="106B2C5A" w14:textId="77777777" w:rsidTr="002D142A">
        <w:trPr>
          <w:trHeight w:val="60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904A2B0" w14:textId="77777777" w:rsidR="002D142A" w:rsidRPr="002D142A" w:rsidRDefault="002D142A" w:rsidP="002D142A">
            <w:pPr>
              <w:widowControl/>
              <w:jc w:val="left"/>
              <w:rPr>
                <w:rFonts w:ascii="宋体" w:eastAsia="宋体" w:hAnsi="宋体" w:cs="宋体"/>
                <w:kern w:val="0"/>
                <w:szCs w:val="21"/>
              </w:rPr>
            </w:pP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1E242E8"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封顶线</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02D999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3000元</w:t>
            </w:r>
          </w:p>
        </w:tc>
      </w:tr>
      <w:tr w:rsidR="002D142A" w:rsidRPr="002D142A" w14:paraId="0F57C7D6" w14:textId="77777777" w:rsidTr="002D142A">
        <w:trPr>
          <w:trHeight w:val="630"/>
          <w:tblCellSpacing w:w="0" w:type="dxa"/>
          <w:jc w:val="center"/>
        </w:trPr>
        <w:tc>
          <w:tcPr>
            <w:tcW w:w="1440"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A912606"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“二次报销”待遇</w:t>
            </w: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D6CB043"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“二次报销”概念</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DB2CC63"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参保人一个医疗年度内发生的住院、门诊慢性病和普通门诊统筹医疗费用，经基本</w:t>
            </w:r>
            <w:proofErr w:type="gramStart"/>
            <w:r w:rsidRPr="002D142A">
              <w:rPr>
                <w:rFonts w:ascii="仿宋" w:eastAsia="仿宋" w:hAnsi="仿宋" w:cs="宋体" w:hint="eastAsia"/>
                <w:kern w:val="0"/>
                <w:sz w:val="24"/>
                <w:szCs w:val="24"/>
              </w:rPr>
              <w:t>医</w:t>
            </w:r>
            <w:proofErr w:type="gramEnd"/>
            <w:r w:rsidRPr="002D142A">
              <w:rPr>
                <w:rFonts w:ascii="仿宋" w:eastAsia="仿宋" w:hAnsi="仿宋" w:cs="宋体" w:hint="eastAsia"/>
                <w:kern w:val="0"/>
                <w:sz w:val="24"/>
                <w:szCs w:val="24"/>
              </w:rPr>
              <w:t>保报销后，个人累计负担的合</w:t>
            </w:r>
            <w:proofErr w:type="gramStart"/>
            <w:r w:rsidRPr="002D142A">
              <w:rPr>
                <w:rFonts w:ascii="仿宋" w:eastAsia="仿宋" w:hAnsi="仿宋" w:cs="宋体" w:hint="eastAsia"/>
                <w:kern w:val="0"/>
                <w:sz w:val="24"/>
                <w:szCs w:val="24"/>
              </w:rPr>
              <w:t>规</w:t>
            </w:r>
            <w:proofErr w:type="gramEnd"/>
            <w:r w:rsidRPr="002D142A">
              <w:rPr>
                <w:rFonts w:ascii="仿宋" w:eastAsia="仿宋" w:hAnsi="仿宋" w:cs="宋体" w:hint="eastAsia"/>
                <w:kern w:val="0"/>
                <w:sz w:val="24"/>
                <w:szCs w:val="24"/>
              </w:rPr>
              <w:t>医疗费用纳入“二次报销”</w:t>
            </w:r>
          </w:p>
        </w:tc>
      </w:tr>
      <w:tr w:rsidR="002D142A" w:rsidRPr="002D142A" w14:paraId="4B74FD65" w14:textId="77777777" w:rsidTr="002D142A">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59A165D" w14:textId="77777777" w:rsidR="002D142A" w:rsidRPr="002D142A" w:rsidRDefault="002D142A" w:rsidP="002D142A">
            <w:pPr>
              <w:widowControl/>
              <w:jc w:val="left"/>
              <w:rPr>
                <w:rFonts w:ascii="宋体" w:eastAsia="宋体" w:hAnsi="宋体" w:cs="宋体"/>
                <w:kern w:val="0"/>
                <w:szCs w:val="21"/>
              </w:rPr>
            </w:pP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358BB68"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起付线</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E1A8BE1"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1万元</w:t>
            </w:r>
          </w:p>
        </w:tc>
      </w:tr>
      <w:tr w:rsidR="002D142A" w:rsidRPr="002D142A" w14:paraId="703B050F" w14:textId="77777777" w:rsidTr="002D142A">
        <w:trPr>
          <w:trHeight w:val="58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6229F08B" w14:textId="77777777" w:rsidR="002D142A" w:rsidRPr="002D142A" w:rsidRDefault="002D142A" w:rsidP="002D142A">
            <w:pPr>
              <w:widowControl/>
              <w:jc w:val="left"/>
              <w:rPr>
                <w:rFonts w:ascii="宋体" w:eastAsia="宋体" w:hAnsi="宋体" w:cs="宋体"/>
                <w:kern w:val="0"/>
                <w:szCs w:val="21"/>
              </w:rPr>
            </w:pP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DFDF110"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报销比例</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215FA96"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1万-20万元的部分报销80%；20万元以上的部分报销90%</w:t>
            </w:r>
          </w:p>
        </w:tc>
      </w:tr>
      <w:tr w:rsidR="002D142A" w:rsidRPr="002D142A" w14:paraId="57C2190A" w14:textId="77777777" w:rsidTr="002D142A">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33E15F9" w14:textId="77777777" w:rsidR="002D142A" w:rsidRPr="002D142A" w:rsidRDefault="002D142A" w:rsidP="002D142A">
            <w:pPr>
              <w:widowControl/>
              <w:jc w:val="left"/>
              <w:rPr>
                <w:rFonts w:ascii="宋体" w:eastAsia="宋体" w:hAnsi="宋体" w:cs="宋体"/>
                <w:kern w:val="0"/>
                <w:szCs w:val="21"/>
              </w:rPr>
            </w:pP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FDDBF4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封顶线</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90108FA"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上不封顶</w:t>
            </w:r>
          </w:p>
        </w:tc>
      </w:tr>
      <w:tr w:rsidR="002D142A" w:rsidRPr="002D142A" w14:paraId="3F2D8A1B" w14:textId="77777777" w:rsidTr="002D142A">
        <w:trPr>
          <w:trHeight w:val="630"/>
          <w:tblCellSpacing w:w="0" w:type="dxa"/>
          <w:jc w:val="center"/>
        </w:trPr>
        <w:tc>
          <w:tcPr>
            <w:tcW w:w="1440"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C4773A4"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门诊免费药待遇</w:t>
            </w: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C2C40B4"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药品种类</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8BB2955"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7种。治疗高血压的卡托普利片、硝苯地平片、阿司匹林肠溶片、氢氯</w:t>
            </w:r>
            <w:proofErr w:type="gramStart"/>
            <w:r w:rsidRPr="002D142A">
              <w:rPr>
                <w:rFonts w:ascii="仿宋" w:eastAsia="仿宋" w:hAnsi="仿宋" w:cs="宋体" w:hint="eastAsia"/>
                <w:kern w:val="0"/>
                <w:sz w:val="24"/>
                <w:szCs w:val="24"/>
              </w:rPr>
              <w:t>噻嗪</w:t>
            </w:r>
            <w:proofErr w:type="gramEnd"/>
            <w:r w:rsidRPr="002D142A">
              <w:rPr>
                <w:rFonts w:ascii="仿宋" w:eastAsia="仿宋" w:hAnsi="仿宋" w:cs="宋体" w:hint="eastAsia"/>
                <w:kern w:val="0"/>
                <w:sz w:val="24"/>
                <w:szCs w:val="24"/>
              </w:rPr>
              <w:t>片，治疗糖尿病的格列</w:t>
            </w:r>
            <w:proofErr w:type="gramStart"/>
            <w:r w:rsidRPr="002D142A">
              <w:rPr>
                <w:rFonts w:ascii="仿宋" w:eastAsia="仿宋" w:hAnsi="仿宋" w:cs="宋体" w:hint="eastAsia"/>
                <w:kern w:val="0"/>
                <w:sz w:val="24"/>
                <w:szCs w:val="24"/>
              </w:rPr>
              <w:t>吡嗪</w:t>
            </w:r>
            <w:proofErr w:type="gramEnd"/>
            <w:r w:rsidRPr="002D142A">
              <w:rPr>
                <w:rFonts w:ascii="仿宋" w:eastAsia="仿宋" w:hAnsi="仿宋" w:cs="宋体" w:hint="eastAsia"/>
                <w:kern w:val="0"/>
                <w:sz w:val="24"/>
                <w:szCs w:val="24"/>
              </w:rPr>
              <w:t>片、二甲双</w:t>
            </w:r>
            <w:proofErr w:type="gramStart"/>
            <w:r w:rsidRPr="002D142A">
              <w:rPr>
                <w:rFonts w:ascii="仿宋" w:eastAsia="仿宋" w:hAnsi="仿宋" w:cs="宋体" w:hint="eastAsia"/>
                <w:kern w:val="0"/>
                <w:sz w:val="24"/>
                <w:szCs w:val="24"/>
              </w:rPr>
              <w:t>胍</w:t>
            </w:r>
            <w:proofErr w:type="gramEnd"/>
            <w:r w:rsidRPr="002D142A">
              <w:rPr>
                <w:rFonts w:ascii="仿宋" w:eastAsia="仿宋" w:hAnsi="仿宋" w:cs="宋体" w:hint="eastAsia"/>
                <w:kern w:val="0"/>
                <w:sz w:val="24"/>
                <w:szCs w:val="24"/>
              </w:rPr>
              <w:t>片，治疗冠心病的硝酸异山梨酯片</w:t>
            </w:r>
          </w:p>
        </w:tc>
      </w:tr>
      <w:tr w:rsidR="002D142A" w:rsidRPr="002D142A" w14:paraId="102B2EF8" w14:textId="77777777" w:rsidTr="002D142A">
        <w:trPr>
          <w:trHeight w:val="42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117FAC2" w14:textId="77777777" w:rsidR="002D142A" w:rsidRPr="002D142A" w:rsidRDefault="002D142A" w:rsidP="002D142A">
            <w:pPr>
              <w:widowControl/>
              <w:jc w:val="left"/>
              <w:rPr>
                <w:rFonts w:ascii="宋体" w:eastAsia="宋体" w:hAnsi="宋体" w:cs="宋体"/>
                <w:kern w:val="0"/>
                <w:szCs w:val="21"/>
              </w:rPr>
            </w:pP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FFBD339"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支付标准</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AE2F705"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对普通门诊统筹签约在社区等基层医疗机构的参保人，</w:t>
            </w:r>
            <w:proofErr w:type="gramStart"/>
            <w:r w:rsidRPr="002D142A">
              <w:rPr>
                <w:rFonts w:ascii="仿宋" w:eastAsia="仿宋" w:hAnsi="仿宋" w:cs="宋体" w:hint="eastAsia"/>
                <w:kern w:val="0"/>
                <w:sz w:val="24"/>
                <w:szCs w:val="24"/>
              </w:rPr>
              <w:t>医</w:t>
            </w:r>
            <w:proofErr w:type="gramEnd"/>
            <w:r w:rsidRPr="002D142A">
              <w:rPr>
                <w:rFonts w:ascii="仿宋" w:eastAsia="仿宋" w:hAnsi="仿宋" w:cs="宋体" w:hint="eastAsia"/>
                <w:kern w:val="0"/>
                <w:sz w:val="24"/>
                <w:szCs w:val="24"/>
              </w:rPr>
              <w:t>保基金全额支付，每人每年不超过240元</w:t>
            </w:r>
          </w:p>
        </w:tc>
      </w:tr>
      <w:tr w:rsidR="002D142A" w:rsidRPr="002D142A" w14:paraId="18E73E99" w14:textId="77777777" w:rsidTr="002D142A">
        <w:trPr>
          <w:trHeight w:val="645"/>
          <w:tblCellSpacing w:w="0" w:type="dxa"/>
          <w:jc w:val="center"/>
        </w:trPr>
        <w:tc>
          <w:tcPr>
            <w:tcW w:w="1440"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3B5A3C1"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职工大病保险待遇</w:t>
            </w: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A57FDC7"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额度报销</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CAF8CE4"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概念</w:t>
            </w:r>
          </w:p>
        </w:tc>
        <w:tc>
          <w:tcPr>
            <w:tcW w:w="9360" w:type="dxa"/>
            <w:gridSpan w:val="3"/>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65BCD93F"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参保人一个医疗年度内发生的住院医疗费用，经职工</w:t>
            </w:r>
            <w:proofErr w:type="gramStart"/>
            <w:r w:rsidRPr="002D142A">
              <w:rPr>
                <w:rFonts w:ascii="仿宋" w:eastAsia="仿宋" w:hAnsi="仿宋" w:cs="宋体" w:hint="eastAsia"/>
                <w:kern w:val="0"/>
                <w:sz w:val="24"/>
                <w:szCs w:val="24"/>
              </w:rPr>
              <w:t>医</w:t>
            </w:r>
            <w:proofErr w:type="gramEnd"/>
            <w:r w:rsidRPr="002D142A">
              <w:rPr>
                <w:rFonts w:ascii="仿宋" w:eastAsia="仿宋" w:hAnsi="仿宋" w:cs="宋体" w:hint="eastAsia"/>
                <w:kern w:val="0"/>
                <w:sz w:val="24"/>
                <w:szCs w:val="24"/>
              </w:rPr>
              <w:t>保统筹基金和大额医疗费救助金按规定支付后，个人累计负担的合</w:t>
            </w:r>
            <w:proofErr w:type="gramStart"/>
            <w:r w:rsidRPr="002D142A">
              <w:rPr>
                <w:rFonts w:ascii="仿宋" w:eastAsia="仿宋" w:hAnsi="仿宋" w:cs="宋体" w:hint="eastAsia"/>
                <w:kern w:val="0"/>
                <w:sz w:val="24"/>
                <w:szCs w:val="24"/>
              </w:rPr>
              <w:t>规</w:t>
            </w:r>
            <w:proofErr w:type="gramEnd"/>
            <w:r w:rsidRPr="002D142A">
              <w:rPr>
                <w:rFonts w:ascii="仿宋" w:eastAsia="仿宋" w:hAnsi="仿宋" w:cs="宋体" w:hint="eastAsia"/>
                <w:kern w:val="0"/>
                <w:sz w:val="24"/>
                <w:szCs w:val="24"/>
              </w:rPr>
              <w:t>医疗费纳入职工大病保险</w:t>
            </w:r>
          </w:p>
        </w:tc>
      </w:tr>
      <w:tr w:rsidR="002D142A" w:rsidRPr="002D142A" w14:paraId="63E7038B" w14:textId="77777777" w:rsidTr="002D142A">
        <w:trPr>
          <w:trHeight w:val="60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A593EF5"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4CD132DE"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0993DDA"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起付线</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1E68772"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2万元</w:t>
            </w:r>
          </w:p>
        </w:tc>
      </w:tr>
      <w:tr w:rsidR="002D142A" w:rsidRPr="002D142A" w14:paraId="24AFC795" w14:textId="77777777" w:rsidTr="002D142A">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07FD140"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328B515A"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5BCC004"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报销比例</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51F1685"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60%</w:t>
            </w:r>
          </w:p>
        </w:tc>
      </w:tr>
      <w:tr w:rsidR="002D142A" w:rsidRPr="002D142A" w14:paraId="2062BF43" w14:textId="77777777" w:rsidTr="002D142A">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6885BC0"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38348634"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20D4E3C"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封顶线</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37F295D"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仿宋" w:eastAsia="仿宋" w:hAnsi="仿宋" w:cs="宋体" w:hint="eastAsia"/>
                <w:kern w:val="0"/>
                <w:sz w:val="24"/>
                <w:szCs w:val="24"/>
              </w:rPr>
              <w:t>40万元</w:t>
            </w:r>
          </w:p>
        </w:tc>
      </w:tr>
      <w:tr w:rsidR="002D142A" w:rsidRPr="002D142A" w14:paraId="6A63245B" w14:textId="77777777" w:rsidTr="002D142A">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7502517" w14:textId="77777777" w:rsidR="002D142A" w:rsidRPr="002D142A" w:rsidRDefault="002D142A" w:rsidP="002D142A">
            <w:pPr>
              <w:widowControl/>
              <w:jc w:val="left"/>
              <w:rPr>
                <w:rFonts w:ascii="宋体" w:eastAsia="宋体" w:hAnsi="宋体" w:cs="宋体"/>
                <w:kern w:val="0"/>
                <w:szCs w:val="21"/>
              </w:rPr>
            </w:pPr>
          </w:p>
        </w:tc>
        <w:tc>
          <w:tcPr>
            <w:tcW w:w="1710" w:type="dxa"/>
            <w:vMerge w:val="restart"/>
            <w:tcBorders>
              <w:top w:val="nil"/>
              <w:left w:val="nil"/>
              <w:bottom w:val="single" w:sz="6" w:space="0" w:color="000000"/>
              <w:right w:val="nil"/>
            </w:tcBorders>
            <w:tcMar>
              <w:top w:w="15" w:type="dxa"/>
              <w:left w:w="15" w:type="dxa"/>
              <w:bottom w:w="0" w:type="dxa"/>
              <w:right w:w="15" w:type="dxa"/>
            </w:tcMar>
            <w:vAlign w:val="center"/>
            <w:hideMark/>
          </w:tcPr>
          <w:p w14:paraId="28AB9C3A"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特药报销</w:t>
            </w:r>
          </w:p>
        </w:tc>
        <w:tc>
          <w:tcPr>
            <w:tcW w:w="189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A9531BD"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概念</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8A2033E"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将省统一组织价格谈判的抗肿瘤分子</w:t>
            </w:r>
            <w:proofErr w:type="gramStart"/>
            <w:r w:rsidRPr="002D142A">
              <w:rPr>
                <w:rFonts w:ascii="仿宋" w:eastAsia="仿宋" w:hAnsi="仿宋" w:cs="宋体" w:hint="eastAsia"/>
                <w:kern w:val="0"/>
                <w:sz w:val="24"/>
                <w:szCs w:val="24"/>
              </w:rPr>
              <w:t>靶向药和</w:t>
            </w:r>
            <w:proofErr w:type="gramEnd"/>
            <w:r w:rsidRPr="002D142A">
              <w:rPr>
                <w:rFonts w:ascii="仿宋" w:eastAsia="仿宋" w:hAnsi="仿宋" w:cs="宋体" w:hint="eastAsia"/>
                <w:kern w:val="0"/>
                <w:sz w:val="24"/>
                <w:szCs w:val="24"/>
              </w:rPr>
              <w:t>治疗其它疾病的特效药品纳入职工大病保险支付范围，对参保人患重大疾病发生的合</w:t>
            </w:r>
            <w:proofErr w:type="gramStart"/>
            <w:r w:rsidRPr="002D142A">
              <w:rPr>
                <w:rFonts w:ascii="仿宋" w:eastAsia="仿宋" w:hAnsi="仿宋" w:cs="宋体" w:hint="eastAsia"/>
                <w:kern w:val="0"/>
                <w:sz w:val="24"/>
                <w:szCs w:val="24"/>
              </w:rPr>
              <w:t>规</w:t>
            </w:r>
            <w:proofErr w:type="gramEnd"/>
            <w:r w:rsidRPr="002D142A">
              <w:rPr>
                <w:rFonts w:ascii="仿宋" w:eastAsia="仿宋" w:hAnsi="仿宋" w:cs="宋体" w:hint="eastAsia"/>
                <w:kern w:val="0"/>
                <w:sz w:val="24"/>
                <w:szCs w:val="24"/>
              </w:rPr>
              <w:t>特药费用，给予一定补偿</w:t>
            </w:r>
          </w:p>
        </w:tc>
      </w:tr>
      <w:tr w:rsidR="002D142A" w:rsidRPr="002D142A" w14:paraId="3AF5AD7A" w14:textId="77777777" w:rsidTr="002D142A">
        <w:trPr>
          <w:trHeight w:val="64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876B828"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nil"/>
            </w:tcBorders>
            <w:vAlign w:val="center"/>
            <w:hideMark/>
          </w:tcPr>
          <w:p w14:paraId="7D83D575"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5A0DE51"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药品种类</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77DAA28"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6种。盐酸</w:t>
            </w:r>
            <w:proofErr w:type="gramStart"/>
            <w:r w:rsidRPr="002D142A">
              <w:rPr>
                <w:rFonts w:ascii="仿宋" w:eastAsia="仿宋" w:hAnsi="仿宋" w:cs="宋体" w:hint="eastAsia"/>
                <w:kern w:val="0"/>
                <w:sz w:val="24"/>
                <w:szCs w:val="24"/>
              </w:rPr>
              <w:t>沙丙蝶呤</w:t>
            </w:r>
            <w:proofErr w:type="gramEnd"/>
            <w:r w:rsidRPr="002D142A">
              <w:rPr>
                <w:rFonts w:ascii="仿宋" w:eastAsia="仿宋" w:hAnsi="仿宋" w:cs="宋体" w:hint="eastAsia"/>
                <w:kern w:val="0"/>
                <w:sz w:val="24"/>
                <w:szCs w:val="24"/>
              </w:rPr>
              <w:t>片、盐酸</w:t>
            </w:r>
            <w:proofErr w:type="gramStart"/>
            <w:r w:rsidRPr="002D142A">
              <w:rPr>
                <w:rFonts w:ascii="仿宋" w:eastAsia="仿宋" w:hAnsi="仿宋" w:cs="宋体" w:hint="eastAsia"/>
                <w:kern w:val="0"/>
                <w:sz w:val="24"/>
                <w:szCs w:val="24"/>
              </w:rPr>
              <w:t>多柔比</w:t>
            </w:r>
            <w:proofErr w:type="gramEnd"/>
            <w:r w:rsidRPr="002D142A">
              <w:rPr>
                <w:rFonts w:ascii="仿宋" w:eastAsia="仿宋" w:hAnsi="仿宋" w:cs="宋体" w:hint="eastAsia"/>
                <w:kern w:val="0"/>
                <w:sz w:val="24"/>
                <w:szCs w:val="24"/>
              </w:rPr>
              <w:t>星脂质体注射液、注射</w:t>
            </w:r>
            <w:proofErr w:type="gramStart"/>
            <w:r w:rsidRPr="002D142A">
              <w:rPr>
                <w:rFonts w:ascii="仿宋" w:eastAsia="仿宋" w:hAnsi="仿宋" w:cs="宋体" w:hint="eastAsia"/>
                <w:kern w:val="0"/>
                <w:sz w:val="24"/>
                <w:szCs w:val="24"/>
              </w:rPr>
              <w:t>用伊米苷</w:t>
            </w:r>
            <w:proofErr w:type="gramEnd"/>
            <w:r w:rsidRPr="002D142A">
              <w:rPr>
                <w:rFonts w:ascii="仿宋" w:eastAsia="仿宋" w:hAnsi="仿宋" w:cs="宋体" w:hint="eastAsia"/>
                <w:kern w:val="0"/>
                <w:sz w:val="24"/>
                <w:szCs w:val="24"/>
              </w:rPr>
              <w:t>酶、注射用阿糖苷酶α、注射用阿加糖酶β、阿加糖酶α注射用浓溶液</w:t>
            </w:r>
          </w:p>
        </w:tc>
      </w:tr>
      <w:tr w:rsidR="002D142A" w:rsidRPr="002D142A" w14:paraId="79884818" w14:textId="77777777" w:rsidTr="002D142A">
        <w:trPr>
          <w:trHeight w:val="66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E0CFF34"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nil"/>
            </w:tcBorders>
            <w:vAlign w:val="center"/>
            <w:hideMark/>
          </w:tcPr>
          <w:p w14:paraId="53A75E95"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6E45B29"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起付线</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18A165A"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2万元</w:t>
            </w:r>
          </w:p>
        </w:tc>
      </w:tr>
      <w:tr w:rsidR="002D142A" w:rsidRPr="002D142A" w14:paraId="38BBDB42" w14:textId="77777777" w:rsidTr="002D142A">
        <w:trPr>
          <w:trHeight w:val="9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C42B2E8"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nil"/>
            </w:tcBorders>
            <w:vAlign w:val="center"/>
            <w:hideMark/>
          </w:tcPr>
          <w:p w14:paraId="25D66798"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D50E8B1"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报销比例</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3FBAA2A"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盐酸</w:t>
            </w:r>
            <w:proofErr w:type="gramStart"/>
            <w:r w:rsidRPr="002D142A">
              <w:rPr>
                <w:rFonts w:ascii="仿宋" w:eastAsia="仿宋" w:hAnsi="仿宋" w:cs="宋体" w:hint="eastAsia"/>
                <w:kern w:val="0"/>
                <w:sz w:val="24"/>
                <w:szCs w:val="24"/>
              </w:rPr>
              <w:t>沙丙蝶呤</w:t>
            </w:r>
            <w:proofErr w:type="gramEnd"/>
            <w:r w:rsidRPr="002D142A">
              <w:rPr>
                <w:rFonts w:ascii="仿宋" w:eastAsia="仿宋" w:hAnsi="仿宋" w:cs="宋体" w:hint="eastAsia"/>
                <w:kern w:val="0"/>
                <w:sz w:val="24"/>
                <w:szCs w:val="24"/>
              </w:rPr>
              <w:t>片、盐酸</w:t>
            </w:r>
            <w:proofErr w:type="gramStart"/>
            <w:r w:rsidRPr="002D142A">
              <w:rPr>
                <w:rFonts w:ascii="仿宋" w:eastAsia="仿宋" w:hAnsi="仿宋" w:cs="宋体" w:hint="eastAsia"/>
                <w:kern w:val="0"/>
                <w:sz w:val="24"/>
                <w:szCs w:val="24"/>
              </w:rPr>
              <w:t>多柔比</w:t>
            </w:r>
            <w:proofErr w:type="gramEnd"/>
            <w:r w:rsidRPr="002D142A">
              <w:rPr>
                <w:rFonts w:ascii="仿宋" w:eastAsia="仿宋" w:hAnsi="仿宋" w:cs="宋体" w:hint="eastAsia"/>
                <w:kern w:val="0"/>
                <w:sz w:val="24"/>
                <w:szCs w:val="24"/>
              </w:rPr>
              <w:t>星脂质体注射液：报销80%；注射</w:t>
            </w:r>
            <w:proofErr w:type="gramStart"/>
            <w:r w:rsidRPr="002D142A">
              <w:rPr>
                <w:rFonts w:ascii="仿宋" w:eastAsia="仿宋" w:hAnsi="仿宋" w:cs="宋体" w:hint="eastAsia"/>
                <w:kern w:val="0"/>
                <w:sz w:val="24"/>
                <w:szCs w:val="24"/>
              </w:rPr>
              <w:t>用伊米苷</w:t>
            </w:r>
            <w:proofErr w:type="gramEnd"/>
            <w:r w:rsidRPr="002D142A">
              <w:rPr>
                <w:rFonts w:ascii="仿宋" w:eastAsia="仿宋" w:hAnsi="仿宋" w:cs="宋体" w:hint="eastAsia"/>
                <w:kern w:val="0"/>
                <w:sz w:val="24"/>
                <w:szCs w:val="24"/>
              </w:rPr>
              <w:t>酶、注射用阿糖苷酶α、注射用阿加糖酶β、阿加糖酶α注射用浓溶液：40万元以下报销80%，40万元以上报销85%</w:t>
            </w:r>
          </w:p>
        </w:tc>
      </w:tr>
      <w:tr w:rsidR="002D142A" w:rsidRPr="002D142A" w14:paraId="1DEDB7AD" w14:textId="77777777" w:rsidTr="002D142A">
        <w:trPr>
          <w:trHeight w:val="75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9D75031"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nil"/>
            </w:tcBorders>
            <w:vAlign w:val="center"/>
            <w:hideMark/>
          </w:tcPr>
          <w:p w14:paraId="742C19C6"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AE5C70D"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封顶线</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C121CF5"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盐酸</w:t>
            </w:r>
            <w:proofErr w:type="gramStart"/>
            <w:r w:rsidRPr="002D142A">
              <w:rPr>
                <w:rFonts w:ascii="仿宋" w:eastAsia="仿宋" w:hAnsi="仿宋" w:cs="宋体" w:hint="eastAsia"/>
                <w:kern w:val="0"/>
                <w:sz w:val="24"/>
                <w:szCs w:val="24"/>
              </w:rPr>
              <w:t>沙丙蝶呤</w:t>
            </w:r>
            <w:proofErr w:type="gramEnd"/>
            <w:r w:rsidRPr="002D142A">
              <w:rPr>
                <w:rFonts w:ascii="仿宋" w:eastAsia="仿宋" w:hAnsi="仿宋" w:cs="宋体" w:hint="eastAsia"/>
                <w:kern w:val="0"/>
                <w:sz w:val="24"/>
                <w:szCs w:val="24"/>
              </w:rPr>
              <w:t>片、盐酸</w:t>
            </w:r>
            <w:proofErr w:type="gramStart"/>
            <w:r w:rsidRPr="002D142A">
              <w:rPr>
                <w:rFonts w:ascii="仿宋" w:eastAsia="仿宋" w:hAnsi="仿宋" w:cs="宋体" w:hint="eastAsia"/>
                <w:kern w:val="0"/>
                <w:sz w:val="24"/>
                <w:szCs w:val="24"/>
              </w:rPr>
              <w:t>多柔比</w:t>
            </w:r>
            <w:proofErr w:type="gramEnd"/>
            <w:r w:rsidRPr="002D142A">
              <w:rPr>
                <w:rFonts w:ascii="仿宋" w:eastAsia="仿宋" w:hAnsi="仿宋" w:cs="宋体" w:hint="eastAsia"/>
                <w:kern w:val="0"/>
                <w:sz w:val="24"/>
                <w:szCs w:val="24"/>
              </w:rPr>
              <w:t>星脂质体注射液：40万元；注射</w:t>
            </w:r>
            <w:proofErr w:type="gramStart"/>
            <w:r w:rsidRPr="002D142A">
              <w:rPr>
                <w:rFonts w:ascii="仿宋" w:eastAsia="仿宋" w:hAnsi="仿宋" w:cs="宋体" w:hint="eastAsia"/>
                <w:kern w:val="0"/>
                <w:sz w:val="24"/>
                <w:szCs w:val="24"/>
              </w:rPr>
              <w:t>用伊米苷</w:t>
            </w:r>
            <w:proofErr w:type="gramEnd"/>
            <w:r w:rsidRPr="002D142A">
              <w:rPr>
                <w:rFonts w:ascii="仿宋" w:eastAsia="仿宋" w:hAnsi="仿宋" w:cs="宋体" w:hint="eastAsia"/>
                <w:kern w:val="0"/>
                <w:sz w:val="24"/>
                <w:szCs w:val="24"/>
              </w:rPr>
              <w:t>酶、注射用阿糖苷酶α、注射用阿加糖酶β、阿加糖酶α注射用浓溶液：90万元</w:t>
            </w:r>
          </w:p>
        </w:tc>
      </w:tr>
      <w:tr w:rsidR="002D142A" w:rsidRPr="002D142A" w14:paraId="5862606E" w14:textId="77777777" w:rsidTr="002D142A">
        <w:trPr>
          <w:trHeight w:val="630"/>
          <w:tblCellSpacing w:w="0" w:type="dxa"/>
          <w:jc w:val="center"/>
        </w:trPr>
        <w:tc>
          <w:tcPr>
            <w:tcW w:w="1440"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3AC2510"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长期护理保险待遇</w:t>
            </w:r>
          </w:p>
        </w:tc>
        <w:tc>
          <w:tcPr>
            <w:tcW w:w="171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E16C003"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服务形式</w:t>
            </w: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9D10DD5"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专护</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40C5695"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定点医护机构为入住本机构的参保人提供以</w:t>
            </w:r>
            <w:proofErr w:type="gramStart"/>
            <w:r w:rsidRPr="002D142A">
              <w:rPr>
                <w:rFonts w:ascii="仿宋" w:eastAsia="仿宋" w:hAnsi="仿宋" w:cs="宋体" w:hint="eastAsia"/>
                <w:kern w:val="0"/>
                <w:sz w:val="24"/>
                <w:szCs w:val="24"/>
              </w:rPr>
              <w:t>安宁疗护为主</w:t>
            </w:r>
            <w:proofErr w:type="gramEnd"/>
            <w:r w:rsidRPr="002D142A">
              <w:rPr>
                <w:rFonts w:ascii="仿宋" w:eastAsia="仿宋" w:hAnsi="仿宋" w:cs="宋体" w:hint="eastAsia"/>
                <w:kern w:val="0"/>
                <w:sz w:val="24"/>
                <w:szCs w:val="24"/>
              </w:rPr>
              <w:t>的医疗护理服务，不能与门诊慢性病及普通门诊统筹待遇同时享受</w:t>
            </w:r>
          </w:p>
        </w:tc>
      </w:tr>
      <w:tr w:rsidR="002D142A" w:rsidRPr="002D142A" w14:paraId="44D589BF" w14:textId="77777777" w:rsidTr="002D142A">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11A2EAE"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747DB76D"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5F2D839"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proofErr w:type="gramStart"/>
            <w:r w:rsidRPr="002D142A">
              <w:rPr>
                <w:rFonts w:ascii="黑体" w:eastAsia="黑体" w:hAnsi="黑体" w:cs="宋体" w:hint="eastAsia"/>
                <w:kern w:val="0"/>
                <w:sz w:val="24"/>
                <w:szCs w:val="24"/>
              </w:rPr>
              <w:t>院护</w:t>
            </w:r>
            <w:proofErr w:type="gramEnd"/>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05DAD7E"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定点医护机构为入住本机构的</w:t>
            </w:r>
            <w:proofErr w:type="gramStart"/>
            <w:r w:rsidRPr="002D142A">
              <w:rPr>
                <w:rFonts w:ascii="仿宋" w:eastAsia="仿宋" w:hAnsi="仿宋" w:cs="宋体" w:hint="eastAsia"/>
                <w:kern w:val="0"/>
                <w:sz w:val="24"/>
                <w:szCs w:val="24"/>
              </w:rPr>
              <w:t>的</w:t>
            </w:r>
            <w:proofErr w:type="gramEnd"/>
            <w:r w:rsidRPr="002D142A">
              <w:rPr>
                <w:rFonts w:ascii="仿宋" w:eastAsia="仿宋" w:hAnsi="仿宋" w:cs="宋体" w:hint="eastAsia"/>
                <w:kern w:val="0"/>
                <w:sz w:val="24"/>
                <w:szCs w:val="24"/>
              </w:rPr>
              <w:t>参保人提供基本生活照料及相关医疗护理服务，可与门诊慢性病及普通门诊统筹待遇同时享受</w:t>
            </w:r>
          </w:p>
        </w:tc>
      </w:tr>
      <w:tr w:rsidR="002D142A" w:rsidRPr="002D142A" w14:paraId="4E03F0EB" w14:textId="77777777" w:rsidTr="002D142A">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F124F75" w14:textId="77777777" w:rsidR="002D142A" w:rsidRPr="002D142A" w:rsidRDefault="002D142A" w:rsidP="002D142A">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0C7F2B00" w14:textId="77777777" w:rsidR="002D142A" w:rsidRPr="002D142A" w:rsidRDefault="002D142A" w:rsidP="002D142A">
            <w:pPr>
              <w:widowControl/>
              <w:jc w:val="left"/>
              <w:rPr>
                <w:rFonts w:ascii="宋体" w:eastAsia="宋体" w:hAnsi="宋体" w:cs="宋体"/>
                <w:kern w:val="0"/>
                <w:szCs w:val="21"/>
              </w:rPr>
            </w:pPr>
          </w:p>
        </w:tc>
        <w:tc>
          <w:tcPr>
            <w:tcW w:w="18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5A15D45"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proofErr w:type="gramStart"/>
            <w:r w:rsidRPr="002D142A">
              <w:rPr>
                <w:rFonts w:ascii="黑体" w:eastAsia="黑体" w:hAnsi="黑体" w:cs="宋体" w:hint="eastAsia"/>
                <w:kern w:val="0"/>
                <w:sz w:val="24"/>
                <w:szCs w:val="24"/>
              </w:rPr>
              <w:t>家护</w:t>
            </w:r>
            <w:proofErr w:type="gramEnd"/>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A83D15F"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定点医护机构为居家的参保人提供上门照护或社区日间集中照护等基本生活照料及相关医疗护理服务，可与门诊慢性病及普通门诊统筹待遇同时享受</w:t>
            </w:r>
          </w:p>
        </w:tc>
      </w:tr>
      <w:tr w:rsidR="002D142A" w:rsidRPr="002D142A" w14:paraId="18A54C67" w14:textId="77777777" w:rsidTr="002D142A">
        <w:trPr>
          <w:trHeight w:val="87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83E452F" w14:textId="77777777" w:rsidR="002D142A" w:rsidRPr="002D142A" w:rsidRDefault="002D142A" w:rsidP="002D142A">
            <w:pPr>
              <w:widowControl/>
              <w:jc w:val="left"/>
              <w:rPr>
                <w:rFonts w:ascii="宋体" w:eastAsia="宋体" w:hAnsi="宋体" w:cs="宋体"/>
                <w:kern w:val="0"/>
                <w:szCs w:val="21"/>
              </w:rPr>
            </w:pPr>
          </w:p>
        </w:tc>
        <w:tc>
          <w:tcPr>
            <w:tcW w:w="3600"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7F0DF6F" w14:textId="77777777" w:rsidR="002D142A" w:rsidRPr="002D142A" w:rsidRDefault="002D142A" w:rsidP="002D142A">
            <w:pPr>
              <w:widowControl/>
              <w:spacing w:line="405" w:lineRule="atLeast"/>
              <w:jc w:val="center"/>
              <w:textAlignment w:val="center"/>
              <w:rPr>
                <w:rFonts w:ascii="宋体" w:eastAsia="宋体" w:hAnsi="宋体" w:cs="宋体"/>
                <w:kern w:val="0"/>
                <w:szCs w:val="21"/>
              </w:rPr>
            </w:pPr>
            <w:r w:rsidRPr="002D142A">
              <w:rPr>
                <w:rFonts w:ascii="黑体" w:eastAsia="黑体" w:hAnsi="黑体" w:cs="宋体" w:hint="eastAsia"/>
                <w:kern w:val="0"/>
                <w:sz w:val="24"/>
                <w:szCs w:val="24"/>
              </w:rPr>
              <w:t>待遇标准</w:t>
            </w:r>
          </w:p>
        </w:tc>
        <w:tc>
          <w:tcPr>
            <w:tcW w:w="9360" w:type="dxa"/>
            <w:gridSpan w:val="3"/>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EB88A7A" w14:textId="77777777" w:rsidR="002D142A" w:rsidRPr="002D142A" w:rsidRDefault="002D142A" w:rsidP="002D142A">
            <w:pPr>
              <w:widowControl/>
              <w:spacing w:line="405" w:lineRule="atLeast"/>
              <w:ind w:firstLine="480"/>
              <w:jc w:val="left"/>
              <w:textAlignment w:val="center"/>
              <w:rPr>
                <w:rFonts w:ascii="宋体" w:eastAsia="宋体" w:hAnsi="宋体" w:cs="宋体"/>
                <w:kern w:val="0"/>
                <w:szCs w:val="21"/>
              </w:rPr>
            </w:pPr>
            <w:r w:rsidRPr="002D142A">
              <w:rPr>
                <w:rFonts w:ascii="仿宋" w:eastAsia="仿宋" w:hAnsi="仿宋" w:cs="宋体" w:hint="eastAsia"/>
                <w:kern w:val="0"/>
                <w:sz w:val="24"/>
                <w:szCs w:val="24"/>
              </w:rPr>
              <w:t>长期护理保险待遇不设起付线。参保人员在定点医护机构或居家接受长期医疗护理的，其符合规定的医疗护理费，由长期护理保险基金支付90%，其余费用由个人承担</w:t>
            </w:r>
          </w:p>
        </w:tc>
      </w:tr>
    </w:tbl>
    <w:p w14:paraId="194C1318" w14:textId="77777777" w:rsidR="00D60285" w:rsidRPr="002D142A" w:rsidRDefault="00D60285"/>
    <w:sectPr w:rsidR="00D60285" w:rsidRPr="002D142A" w:rsidSect="002D142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0532" w14:textId="77777777" w:rsidR="00F573DD" w:rsidRDefault="00F573DD" w:rsidP="002D142A">
      <w:r>
        <w:separator/>
      </w:r>
    </w:p>
  </w:endnote>
  <w:endnote w:type="continuationSeparator" w:id="0">
    <w:p w14:paraId="230BF3CC" w14:textId="77777777" w:rsidR="00F573DD" w:rsidRDefault="00F573DD" w:rsidP="002D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AC3C" w14:textId="77777777" w:rsidR="00F573DD" w:rsidRDefault="00F573DD" w:rsidP="002D142A">
      <w:r>
        <w:separator/>
      </w:r>
    </w:p>
  </w:footnote>
  <w:footnote w:type="continuationSeparator" w:id="0">
    <w:p w14:paraId="2E70DC0F" w14:textId="77777777" w:rsidR="00F573DD" w:rsidRDefault="00F573DD" w:rsidP="002D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B2"/>
    <w:rsid w:val="002D142A"/>
    <w:rsid w:val="008512B2"/>
    <w:rsid w:val="00D60285"/>
    <w:rsid w:val="00F5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0DC58"/>
  <w15:chartTrackingRefBased/>
  <w15:docId w15:val="{E726BD6E-6587-4FDF-9BFF-44762C81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4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142A"/>
    <w:rPr>
      <w:sz w:val="18"/>
      <w:szCs w:val="18"/>
    </w:rPr>
  </w:style>
  <w:style w:type="paragraph" w:styleId="a5">
    <w:name w:val="footer"/>
    <w:basedOn w:val="a"/>
    <w:link w:val="a6"/>
    <w:uiPriority w:val="99"/>
    <w:unhideWhenUsed/>
    <w:rsid w:val="002D142A"/>
    <w:pPr>
      <w:tabs>
        <w:tab w:val="center" w:pos="4153"/>
        <w:tab w:val="right" w:pos="8306"/>
      </w:tabs>
      <w:snapToGrid w:val="0"/>
      <w:jc w:val="left"/>
    </w:pPr>
    <w:rPr>
      <w:sz w:val="18"/>
      <w:szCs w:val="18"/>
    </w:rPr>
  </w:style>
  <w:style w:type="character" w:customStyle="1" w:styleId="a6">
    <w:name w:val="页脚 字符"/>
    <w:basedOn w:val="a0"/>
    <w:link w:val="a5"/>
    <w:uiPriority w:val="99"/>
    <w:rsid w:val="002D142A"/>
    <w:rPr>
      <w:sz w:val="18"/>
      <w:szCs w:val="18"/>
    </w:rPr>
  </w:style>
  <w:style w:type="paragraph" w:styleId="a7">
    <w:name w:val="Normal (Web)"/>
    <w:basedOn w:val="a"/>
    <w:uiPriority w:val="99"/>
    <w:semiHidden/>
    <w:unhideWhenUsed/>
    <w:rsid w:val="002D14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0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2021-07-28T05:29:00Z</dcterms:created>
  <dcterms:modified xsi:type="dcterms:W3CDTF">2021-07-28T05:29:00Z</dcterms:modified>
</cp:coreProperties>
</file>